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附件1:设计艺术学院艺德杯工作流程概述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①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、成立设计艺术学院艺德杯工作组，召开动员大会，落实学习比赛相关文件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②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、各专业教研室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组织教师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针对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参赛过程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中遇到的问题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集中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讨论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，形成统一意见；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③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、各班级群转发“艺德杯”比赛文件、确保比赛讯息落实每一位师生手中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④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2021年10月15日，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设计艺术学院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开展了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以“红心向党、共绘美好”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为主题的倡议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活动，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活动以专业为基础，以班级为单位，将专业课与思政课相结合，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宣扬社会主义核心价值体系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⑤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、各专业专兼职教师进以专业课堂为中心行比赛指导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⑥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、2021年11月1日至11月10日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，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各专业教研室进行艺德杯中期指导，并针对艺德杯赛事指导中遇到的问题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进行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讨论，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形成统一意见；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⑦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、2021年11月20日，各专兼职教师完成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参赛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作品指导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，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并指导学生在官网投递作品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⑧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、2021年11月2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日，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在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设计艺术学院205教室完成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设计艺术学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院内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部参赛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作品推荐筛选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⑨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、2021年11月2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日，设计艺术学院按大赛组委会规定，邮寄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参赛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作品并进行网络上报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C0C0C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0C0C0C"/>
          <w:sz w:val="24"/>
          <w:lang w:val="en-US" w:eastAsia="zh-CN"/>
        </w:rPr>
        <w:t>⑩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、2021年1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月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日，设计艺术学院根据参赛情况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召开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总结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大会，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对优秀作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品</w:t>
      </w:r>
      <w:r>
        <w:rPr>
          <w:rFonts w:hint="eastAsia" w:ascii="宋体" w:hAnsi="宋体" w:eastAsia="宋体" w:cs="Times New Roman"/>
          <w:color w:val="0C0C0C"/>
          <w:sz w:val="24"/>
          <w:lang w:val="en-US" w:eastAsia="zh-CN"/>
        </w:rPr>
        <w:t>、优秀指导教师进行推广</w:t>
      </w:r>
      <w:r>
        <w:rPr>
          <w:rFonts w:hint="eastAsia" w:ascii="宋体" w:hAnsi="宋体" w:cs="Times New Roman"/>
          <w:color w:val="0C0C0C"/>
          <w:sz w:val="24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2021-11-25T03:00:48Z</dcterms:created>
  <dc:creator>Administrator</dc:creator>
  <cp:lastModifiedBy>DA</cp:lastModifiedBy>
  <dcterms:modified xsi:type="dcterms:W3CDTF">2021-11-25T03:00:51Z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B3C0D13C7480419298DDA95CE21E4B98</vt:lpwstr>
  </property>
</Properties>
</file>